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doc" ContentType="application/msword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6A67" w:rsidRDefault="008E52E3" w:rsidP="00946A67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8E52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7pt;margin-top:-41.1pt;width:129.75pt;height:125.55pt;z-index:251661312" cliptowrap="t">
            <v:imagedata r:id="rId6" o:title=""/>
          </v:shape>
          <o:OLEObject Type="Embed" ProgID="Word.Document.8" ShapeID="_x0000_s1027" DrawAspect="Content" ObjectID="_1282557572" r:id="rId7"/>
        </w:pict>
      </w:r>
      <w:r w:rsidR="00946A67">
        <w:tab/>
      </w:r>
      <w:r w:rsidR="002A0C9A">
        <w:t xml:space="preserve">          </w:t>
      </w:r>
      <w:proofErr w:type="spellStart"/>
      <w:r w:rsidR="00946A67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946A67">
        <w:rPr>
          <w:rFonts w:ascii="Tahoma" w:hAnsi="Tahoma" w:cs="Tahoma"/>
          <w:b/>
          <w:bCs/>
          <w:sz w:val="32"/>
          <w:szCs w:val="32"/>
        </w:rPr>
        <w:t xml:space="preserve"> University College </w:t>
      </w:r>
    </w:p>
    <w:p w:rsidR="00946A67" w:rsidRPr="00FE2EB9" w:rsidRDefault="00946A67" w:rsidP="00946A67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7F4261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946A67" w:rsidRPr="00FE2EB9" w:rsidRDefault="00946A67" w:rsidP="00946A67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46A67" w:rsidRDefault="00946A67" w:rsidP="00946A67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COURSE SYLLABUS - SEMESTER </w:t>
      </w:r>
      <w:r w:rsidR="00EF12D3">
        <w:rPr>
          <w:rFonts w:ascii="Tahoma" w:hAnsi="Tahoma" w:cs="Tahoma"/>
          <w:b/>
          <w:bCs/>
          <w:sz w:val="24"/>
          <w:szCs w:val="24"/>
        </w:rPr>
        <w:t>331</w:t>
      </w:r>
    </w:p>
    <w:p w:rsidR="00946A67" w:rsidRDefault="00946A67" w:rsidP="002A0C9A">
      <w:pPr>
        <w:widowControl w:val="0"/>
        <w:rPr>
          <w:rFonts w:ascii="Tahoma" w:hAnsi="Tahoma" w:cs="Tahoma"/>
        </w:rPr>
      </w:pPr>
    </w:p>
    <w:p w:rsidR="00946A67" w:rsidRDefault="00946A67" w:rsidP="00946A67">
      <w:pPr>
        <w:rPr>
          <w:color w:val="auto"/>
          <w:kern w:val="0"/>
          <w:sz w:val="24"/>
          <w:szCs w:val="24"/>
        </w:rPr>
      </w:pPr>
      <w:r>
        <w:t> </w:t>
      </w:r>
      <w:r w:rsidR="008E52E3">
        <w:rPr>
          <w:noProof/>
          <w:color w:val="auto"/>
          <w:kern w:val="0"/>
          <w:sz w:val="24"/>
          <w:szCs w:val="24"/>
        </w:rPr>
        <w:pict>
          <v:rect id="Control 2" o:spid="_x0000_s1026" style="position:absolute;margin-left:56.7pt;margin-top:168.55pt;width:498.6pt;height:57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T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JpMoiqCWJXxLojiZp66MPsnG3zul&#10;zVsmW2SDHCtwgYMnh3ttLB2SjUfsbUJueNM4JzTiagMODjvMWWn4m2RABUJ70pJyZf6ehlEcrKLU&#10;28zmiRdv4qmXJsHcC8J0lc6COI3vNj8sizDOak4pE/dcsNFyYfxnJT2bfzCLMx3qc5xOoylG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DUQiTO3gIAAPEFAAAOAAAAAAAAAAAA&#10;AAAAAC4CAABkcnMvZTJvRG9jLnhtbFBLAQItABQABgAIAAAAIQCfQsKh4gAAAA0BAAAPAAAAAAAA&#10;AAAAAAAAADgFAABkcnMvZG93bnJldi54bWxQSwUGAAAAAAQABADzAAAARwYAAAAA&#10;" filled="f" stroked="f">
            <v:shadow color="#ccc"/>
            <o:lock v:ext="edit" shapetype="t"/>
            <v:textbox inset="0,0,0,0"/>
          </v:rect>
        </w:pict>
      </w:r>
    </w:p>
    <w:tbl>
      <w:tblPr>
        <w:tblW w:w="10408" w:type="dxa"/>
        <w:tblCellMar>
          <w:left w:w="0" w:type="dxa"/>
          <w:right w:w="0" w:type="dxa"/>
        </w:tblCellMar>
        <w:tblLook w:val="04A0"/>
      </w:tblPr>
      <w:tblGrid>
        <w:gridCol w:w="2488"/>
        <w:gridCol w:w="1384"/>
        <w:gridCol w:w="2033"/>
        <w:gridCol w:w="2033"/>
        <w:gridCol w:w="2470"/>
      </w:tblGrid>
      <w:tr w:rsidR="00946A67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E21BCE" w:rsidRDefault="00946A67" w:rsidP="00C44812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E21BCE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="00C44812">
              <w:rPr>
                <w:rFonts w:ascii="Tahoma" w:hAnsi="Tahoma" w:cs="Tahoma"/>
                <w:b/>
                <w:sz w:val="22"/>
                <w:szCs w:val="22"/>
              </w:rPr>
              <w:t>US</w:t>
            </w:r>
            <w:r w:rsidRPr="00E21BCE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83</w:t>
            </w:r>
          </w:p>
        </w:tc>
      </w:tr>
      <w:tr w:rsidR="00946A67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E2AB2" w:rsidRDefault="00946A67" w:rsidP="007D022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E2AB2">
              <w:rPr>
                <w:rFonts w:ascii="Tahoma" w:hAnsi="Tahoma" w:cs="Tahoma"/>
                <w:b/>
                <w:sz w:val="22"/>
                <w:szCs w:val="22"/>
              </w:rPr>
              <w:t>Industrial Psychology</w:t>
            </w:r>
          </w:p>
        </w:tc>
      </w:tr>
      <w:tr w:rsidR="00946A6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Instructor/Lecturer 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4873B1" w:rsidP="00BA3E8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</w:t>
            </w:r>
            <w:r w:rsidR="002A0C9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Mercy </w:t>
            </w:r>
            <w:proofErr w:type="spellStart"/>
            <w:r>
              <w:rPr>
                <w:rFonts w:ascii="Tahoma" w:hAnsi="Tahoma" w:cs="Tahoma"/>
              </w:rPr>
              <w:t>Chaita</w:t>
            </w:r>
            <w:proofErr w:type="spellEnd"/>
            <w:r w:rsidR="0041110B">
              <w:rPr>
                <w:rFonts w:ascii="Tahoma" w:hAnsi="Tahoma" w:cs="Tahoma"/>
              </w:rPr>
              <w:t xml:space="preserve"> – Assistant Professor</w:t>
            </w:r>
          </w:p>
          <w:p w:rsidR="00EF12D3" w:rsidRPr="00EF12D3" w:rsidRDefault="00EF12D3" w:rsidP="00BA3E8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1110B">
              <w:rPr>
                <w:rFonts w:ascii="Tahoma" w:hAnsi="Tahoma" w:cs="Tahoma"/>
              </w:rPr>
              <w:t xml:space="preserve">Sara </w:t>
            </w:r>
            <w:proofErr w:type="spellStart"/>
            <w:r w:rsidRPr="0041110B">
              <w:rPr>
                <w:rFonts w:ascii="Tahoma" w:hAnsi="Tahoma" w:cs="Tahoma"/>
              </w:rPr>
              <w:t>Hasan</w:t>
            </w:r>
            <w:proofErr w:type="spellEnd"/>
            <w:r w:rsidRPr="0041110B">
              <w:rPr>
                <w:rFonts w:ascii="Tahoma" w:hAnsi="Tahoma" w:cs="Tahoma"/>
              </w:rPr>
              <w:t xml:space="preserve"> Omar Al-</w:t>
            </w:r>
            <w:proofErr w:type="spellStart"/>
            <w:r w:rsidRPr="0041110B">
              <w:rPr>
                <w:rFonts w:ascii="Tahoma" w:hAnsi="Tahoma" w:cs="Tahoma"/>
              </w:rPr>
              <w:t>Amoudi</w:t>
            </w:r>
            <w:proofErr w:type="spellEnd"/>
            <w:r w:rsidRPr="0041110B">
              <w:rPr>
                <w:rFonts w:ascii="Tahoma" w:hAnsi="Tahoma" w:cs="Tahoma"/>
              </w:rPr>
              <w:t xml:space="preserve"> (Teaching Assistant)</w:t>
            </w:r>
          </w:p>
        </w:tc>
      </w:tr>
      <w:tr w:rsidR="00946A6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E21BCE" w:rsidRDefault="00946A67" w:rsidP="00BA3E89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44812">
              <w:rPr>
                <w:rFonts w:ascii="Tahoma" w:hAnsi="Tahoma" w:cs="Tahoma"/>
                <w:b/>
                <w:sz w:val="22"/>
                <w:szCs w:val="22"/>
              </w:rPr>
              <w:t xml:space="preserve">Room </w:t>
            </w:r>
            <w:r w:rsidR="004873B1">
              <w:rPr>
                <w:rFonts w:ascii="Tahoma" w:hAnsi="Tahoma" w:cs="Tahoma"/>
                <w:b/>
                <w:sz w:val="22"/>
                <w:szCs w:val="22"/>
              </w:rPr>
              <w:t>431-A</w:t>
            </w:r>
          </w:p>
        </w:tc>
      </w:tr>
      <w:tr w:rsidR="00946A67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Pr="004D7B81" w:rsidRDefault="00946A67" w:rsidP="007D022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46A67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Saturday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2E128C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1 to 8</w:t>
            </w:r>
          </w:p>
        </w:tc>
      </w:tr>
      <w:tr w:rsidR="00946A6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2E128C" w:rsidP="00D0055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 1 to </w:t>
            </w:r>
            <w:r w:rsidR="00D0055E">
              <w:rPr>
                <w:rFonts w:ascii="Tahoma" w:hAnsi="Tahoma" w:cs="Tahoma"/>
              </w:rPr>
              <w:t>8</w:t>
            </w:r>
          </w:p>
        </w:tc>
      </w:tr>
      <w:tr w:rsidR="00946A6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2E128C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1 to 8</w:t>
            </w:r>
          </w:p>
        </w:tc>
      </w:tr>
      <w:tr w:rsidR="00946A67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Default="002E128C" w:rsidP="00D0055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Period 1 to </w:t>
            </w:r>
            <w:r w:rsidR="00D0055E">
              <w:rPr>
                <w:rFonts w:ascii="Tahoma" w:hAnsi="Tahoma" w:cs="Tahoma"/>
              </w:rPr>
              <w:t>5</w:t>
            </w:r>
          </w:p>
        </w:tc>
      </w:tr>
      <w:tr w:rsidR="00946A67">
        <w:trPr>
          <w:trHeight w:val="39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46A67" w:rsidRDefault="002E128C" w:rsidP="00754C88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1 to 8</w:t>
            </w:r>
          </w:p>
        </w:tc>
      </w:tr>
      <w:tr w:rsidR="00946A67">
        <w:trPr>
          <w:trHeight w:val="482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Instructor’s Office Phone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BA3E8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03-3459000 Extension: </w:t>
            </w:r>
            <w:r w:rsidR="004873B1">
              <w:rPr>
                <w:rFonts w:ascii="Tahoma" w:hAnsi="Tahoma" w:cs="Tahoma"/>
              </w:rPr>
              <w:t>3386</w:t>
            </w:r>
          </w:p>
        </w:tc>
      </w:tr>
      <w:tr w:rsidR="00946A67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4873B1" w:rsidP="007D0227">
            <w:pPr>
              <w:widowControl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chaitav@ucj.edu.sa</w:t>
            </w:r>
            <w:proofErr w:type="spellEnd"/>
          </w:p>
        </w:tc>
      </w:tr>
      <w:tr w:rsidR="00C434FA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434FA" w:rsidRDefault="00C434FA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Website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434FA" w:rsidRDefault="002A13B3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http://mjuc</w:t>
            </w:r>
            <w:r w:rsidR="00C434FA">
              <w:rPr>
                <w:rFonts w:ascii="Tahoma" w:hAnsi="Tahoma" w:cs="Tahoma"/>
              </w:rPr>
              <w:t>.weebly.com</w:t>
            </w:r>
          </w:p>
        </w:tc>
      </w:tr>
      <w:tr w:rsidR="00946A67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46A67" w:rsidRDefault="00A170FA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202</w:t>
            </w:r>
            <w:r w:rsidR="00946A67">
              <w:rPr>
                <w:rFonts w:ascii="Tahoma" w:hAnsi="Tahoma" w:cs="Tahoma"/>
                <w:b/>
                <w:bCs/>
              </w:rPr>
              <w:t xml:space="preserve">     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46A67" w:rsidRDefault="00946A67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946A67">
        <w:trPr>
          <w:trHeight w:val="255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A67" w:rsidRPr="004D7B81" w:rsidRDefault="00946A67" w:rsidP="007D022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946A67">
        <w:trPr>
          <w:trHeight w:val="273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6A67">
        <w:trPr>
          <w:trHeight w:val="27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6A67">
        <w:trPr>
          <w:trHeight w:val="33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6A67">
        <w:trPr>
          <w:trHeight w:val="28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D6191D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 7 and 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6A67">
        <w:trPr>
          <w:trHeight w:val="40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946A67" w:rsidRPr="004D7B81" w:rsidRDefault="00946A67" w:rsidP="007D0227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A67" w:rsidRPr="004D7B81" w:rsidRDefault="00946A67" w:rsidP="007D0227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6A67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Pr="00992CDA" w:rsidRDefault="00946A67" w:rsidP="007D022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None</w:t>
            </w:r>
          </w:p>
        </w:tc>
      </w:tr>
      <w:tr w:rsidR="00946A67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6E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and Organizational Psychology is the</w:t>
            </w:r>
            <w:r w:rsidR="006E1618">
              <w:rPr>
                <w:rFonts w:ascii="Arial" w:hAnsi="Arial" w:cs="Arial"/>
              </w:rPr>
              <w:t xml:space="preserve"> branch of P</w:t>
            </w:r>
            <w:r w:rsidR="00834F46">
              <w:rPr>
                <w:rFonts w:ascii="Arial" w:hAnsi="Arial" w:cs="Arial"/>
              </w:rPr>
              <w:t xml:space="preserve">sychology that is </w:t>
            </w:r>
            <w:r w:rsidR="006E1618">
              <w:rPr>
                <w:rFonts w:ascii="Arial" w:hAnsi="Arial" w:cs="Arial"/>
              </w:rPr>
              <w:t xml:space="preserve">involved with </w:t>
            </w:r>
            <w:r w:rsidR="00834F46">
              <w:rPr>
                <w:rFonts w:ascii="Arial" w:hAnsi="Arial" w:cs="Arial"/>
              </w:rPr>
              <w:t>the study of behavior in work settings and the application of psychology principles to change work behavior.</w:t>
            </w:r>
            <w:r>
              <w:rPr>
                <w:rFonts w:ascii="Arial" w:hAnsi="Arial" w:cs="Arial"/>
              </w:rPr>
              <w:t xml:space="preserve"> As an applied science</w:t>
            </w:r>
            <w:r w:rsidR="006E1618">
              <w:rPr>
                <w:rFonts w:ascii="Arial" w:hAnsi="Arial" w:cs="Arial"/>
              </w:rPr>
              <w:t xml:space="preserve"> subject</w:t>
            </w:r>
            <w:r>
              <w:rPr>
                <w:rFonts w:ascii="Arial" w:hAnsi="Arial" w:cs="Arial"/>
              </w:rPr>
              <w:t xml:space="preserve">, it has </w:t>
            </w:r>
            <w:r w:rsidR="00834F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further objective, to provide practical guidelines towards predicting and controlling behavior with a view to</w:t>
            </w:r>
            <w:r w:rsidR="006E1618">
              <w:rPr>
                <w:rFonts w:ascii="Arial" w:hAnsi="Arial" w:cs="Arial"/>
              </w:rPr>
              <w:t xml:space="preserve"> improving</w:t>
            </w:r>
            <w:r>
              <w:rPr>
                <w:rFonts w:ascii="Arial" w:hAnsi="Arial" w:cs="Arial"/>
              </w:rPr>
              <w:t xml:space="preserve"> efficiency and human psychological welfare.</w:t>
            </w:r>
          </w:p>
        </w:tc>
      </w:tr>
      <w:tr w:rsidR="00946A67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Objectives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end of this course, students will be able</w:t>
            </w:r>
            <w:r w:rsidR="006E1618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>:</w:t>
            </w:r>
          </w:p>
          <w:p w:rsidR="00946A67" w:rsidRDefault="006E1618" w:rsidP="007D022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comprehend</w:t>
            </w:r>
            <w:proofErr w:type="gramEnd"/>
            <w:r w:rsidR="00946A67">
              <w:rPr>
                <w:rFonts w:ascii="Arial" w:hAnsi="Arial" w:cs="Arial"/>
              </w:rPr>
              <w:t xml:space="preserve"> theoretical concepts </w:t>
            </w:r>
            <w:r>
              <w:rPr>
                <w:rFonts w:ascii="Arial" w:hAnsi="Arial" w:cs="Arial"/>
              </w:rPr>
              <w:t>and enhance</w:t>
            </w:r>
            <w:r w:rsidR="00946A67">
              <w:rPr>
                <w:rFonts w:ascii="Arial" w:hAnsi="Arial" w:cs="Arial"/>
              </w:rPr>
              <w:t xml:space="preserve"> knowledge and understanding of human behavior</w:t>
            </w:r>
            <w:r w:rsidR="00D41BCA">
              <w:rPr>
                <w:rFonts w:ascii="Arial" w:hAnsi="Arial" w:cs="Arial"/>
              </w:rPr>
              <w:t xml:space="preserve"> in work settings</w:t>
            </w:r>
          </w:p>
          <w:p w:rsidR="00946A67" w:rsidRDefault="00D41BCA" w:rsidP="007D022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apply</w:t>
            </w:r>
            <w:proofErr w:type="gramEnd"/>
            <w:r w:rsidR="00946A67">
              <w:rPr>
                <w:rFonts w:ascii="Arial" w:hAnsi="Arial" w:cs="Arial"/>
              </w:rPr>
              <w:t xml:space="preserve"> psychology principles </w:t>
            </w:r>
            <w:r>
              <w:rPr>
                <w:rFonts w:ascii="Arial" w:hAnsi="Arial" w:cs="Arial"/>
              </w:rPr>
              <w:t xml:space="preserve">that are designed </w:t>
            </w:r>
            <w:r w:rsidR="00946A67">
              <w:rPr>
                <w:rFonts w:ascii="Arial" w:hAnsi="Arial" w:cs="Arial"/>
              </w:rPr>
              <w:t>to change work behavior;</w:t>
            </w:r>
          </w:p>
          <w:p w:rsidR="00946A67" w:rsidRDefault="00D41BCA" w:rsidP="00D41BCA">
            <w:pPr>
              <w:pStyle w:val="ListParagraph"/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thereby improve</w:t>
            </w:r>
            <w:r w:rsidR="00946A67">
              <w:rPr>
                <w:rFonts w:ascii="Arial" w:hAnsi="Arial" w:cs="Arial"/>
              </w:rPr>
              <w:t xml:space="preserve"> work environment, and the psychological conditions of the worker;</w:t>
            </w:r>
          </w:p>
          <w:p w:rsidR="00946A67" w:rsidRPr="00C30B99" w:rsidRDefault="00946A67" w:rsidP="00D41BCA">
            <w:pPr>
              <w:pStyle w:val="ListParagraph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46A67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D41BC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Methods of </w:t>
            </w:r>
            <w:r w:rsidR="00D41BCA">
              <w:rPr>
                <w:rFonts w:ascii="Tahoma" w:hAnsi="Tahoma" w:cs="Tahoma"/>
                <w:b/>
                <w:bCs/>
              </w:rPr>
              <w:t>Learning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Lectures</w:t>
            </w:r>
          </w:p>
          <w:p w:rsidR="00946A67" w:rsidRDefault="00946A67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Interdependent </w:t>
            </w:r>
            <w:r w:rsidR="00E1039C">
              <w:rPr>
                <w:rFonts w:ascii="Tahoma" w:hAnsi="Tahoma" w:cs="Tahoma"/>
              </w:rPr>
              <w:t xml:space="preserve">and </w:t>
            </w:r>
            <w:r>
              <w:rPr>
                <w:rFonts w:ascii="Tahoma" w:hAnsi="Tahoma" w:cs="Tahoma"/>
              </w:rPr>
              <w:t>private study</w:t>
            </w:r>
          </w:p>
          <w:p w:rsidR="00D41BCA" w:rsidRDefault="00946A67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</w:t>
            </w:r>
            <w:r w:rsidR="00E1039C">
              <w:rPr>
                <w:rFonts w:ascii="Tahoma" w:hAnsi="Tahoma" w:cs="Tahoma"/>
              </w:rPr>
              <w:t xml:space="preserve">Presentations </w:t>
            </w:r>
          </w:p>
          <w:p w:rsidR="00946A67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</w:t>
            </w:r>
            <w:r w:rsidR="00E1039C">
              <w:rPr>
                <w:rFonts w:ascii="Tahoma" w:hAnsi="Tahoma" w:cs="Tahoma"/>
              </w:rPr>
              <w:t>Debates</w:t>
            </w:r>
            <w:r w:rsidR="00946A67">
              <w:rPr>
                <w:rFonts w:ascii="Tahoma" w:hAnsi="Tahoma" w:cs="Tahoma"/>
              </w:rPr>
              <w:t xml:space="preserve"> </w:t>
            </w:r>
          </w:p>
          <w:p w:rsidR="00946A67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visits</w:t>
            </w:r>
          </w:p>
          <w:p w:rsidR="00D41BCA" w:rsidRPr="00EF34A3" w:rsidRDefault="00D41BCA" w:rsidP="007D022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</w:t>
            </w:r>
          </w:p>
        </w:tc>
      </w:tr>
      <w:tr w:rsidR="00946A67">
        <w:trPr>
          <w:trHeight w:val="734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Ronald E. </w:t>
            </w:r>
            <w:proofErr w:type="spellStart"/>
            <w:r>
              <w:rPr>
                <w:rFonts w:ascii="Tahoma" w:hAnsi="Tahoma" w:cs="Tahoma"/>
              </w:rPr>
              <w:t>Riggio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="0045280B">
              <w:rPr>
                <w:rFonts w:ascii="Tahoma" w:hAnsi="Tahoma" w:cs="Tahoma"/>
              </w:rPr>
              <w:t>5</w:t>
            </w:r>
            <w:r w:rsidRPr="007C0FBE">
              <w:rPr>
                <w:rFonts w:ascii="Tahoma" w:hAnsi="Tahoma" w:cs="Tahoma"/>
                <w:vertAlign w:val="superscript"/>
              </w:rPr>
              <w:t>th</w:t>
            </w:r>
            <w:r w:rsidR="0045280B">
              <w:rPr>
                <w:rFonts w:ascii="Tahoma" w:hAnsi="Tahoma" w:cs="Tahoma"/>
              </w:rPr>
              <w:t xml:space="preserve"> Ed, 2008</w:t>
            </w:r>
            <w:r>
              <w:rPr>
                <w:rFonts w:ascii="Tahoma" w:hAnsi="Tahoma" w:cs="Tahoma"/>
              </w:rPr>
              <w:t xml:space="preserve"> </w:t>
            </w:r>
            <w:r w:rsidRPr="007C0FBE">
              <w:rPr>
                <w:rFonts w:ascii="Tahoma" w:hAnsi="Tahoma" w:cs="Tahoma"/>
                <w:u w:val="single"/>
              </w:rPr>
              <w:t>“Introduction to Industrial/Organizational Psychology</w:t>
            </w:r>
            <w:r>
              <w:rPr>
                <w:rFonts w:ascii="Tahoma" w:hAnsi="Tahoma" w:cs="Tahoma"/>
              </w:rPr>
              <w:t>”</w:t>
            </w:r>
          </w:p>
          <w:p w:rsidR="00D41BCA" w:rsidRPr="00EF34A3" w:rsidRDefault="00946A67" w:rsidP="00D41B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Prentice Hall.</w:t>
            </w:r>
          </w:p>
        </w:tc>
      </w:tr>
      <w:tr w:rsidR="00D41BCA">
        <w:trPr>
          <w:trHeight w:val="32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41BCA" w:rsidRDefault="00D41BCA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Supporting Materials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Module Syllabus</w:t>
            </w:r>
          </w:p>
          <w:p w:rsidR="00D41BCA" w:rsidRDefault="00D41BCA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Point Presentation</w:t>
            </w:r>
          </w:p>
          <w:p w:rsidR="00BB2DED" w:rsidRDefault="00BB2DED" w:rsidP="00D41BC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Websites</w:t>
            </w:r>
          </w:p>
          <w:p w:rsidR="00D41BCA" w:rsidRPr="00556FBF" w:rsidRDefault="0063081F" w:rsidP="00556FB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ahoma" w:hAnsi="Tahoma" w:cs="Tahoma" w:hint="cs"/>
              </w:rPr>
            </w:pPr>
            <w:r>
              <w:rPr>
                <w:rFonts w:ascii="Tahoma" w:hAnsi="Tahoma" w:cs="Tahoma"/>
              </w:rPr>
              <w:t>Journals</w:t>
            </w:r>
          </w:p>
        </w:tc>
      </w:tr>
      <w:tr w:rsidR="00BB2DED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DED" w:rsidRDefault="00BB2DED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assessment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Quizzes</w:t>
            </w:r>
          </w:p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Assignment</w:t>
            </w:r>
          </w:p>
          <w:p w:rsidR="00BB2DED" w:rsidRPr="00BB2DED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>Midterm Exam</w:t>
            </w:r>
          </w:p>
          <w:p w:rsidR="00BB2DED" w:rsidRPr="00556FBF" w:rsidRDefault="00BB2DED" w:rsidP="00BB2DED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</w:rPr>
              <w:t xml:space="preserve">Final </w:t>
            </w:r>
            <w:proofErr w:type="gramStart"/>
            <w:r w:rsidRPr="00BB2DED">
              <w:rPr>
                <w:rFonts w:ascii="Tahoma" w:hAnsi="Tahoma" w:cs="Tahoma"/>
              </w:rPr>
              <w:t xml:space="preserve">Exam  </w:t>
            </w:r>
            <w:r w:rsidR="00556FBF">
              <w:rPr>
                <w:rFonts w:ascii="Tahoma" w:hAnsi="Tahoma" w:cs="Tahoma"/>
              </w:rPr>
              <w:t xml:space="preserve">                        </w:t>
            </w:r>
            <w:r w:rsidRPr="00556FBF">
              <w:rPr>
                <w:rFonts w:ascii="Tahoma" w:hAnsi="Tahoma" w:cs="Tahoma"/>
              </w:rPr>
              <w:t xml:space="preserve">     </w:t>
            </w:r>
            <w:proofErr w:type="gramEnd"/>
          </w:p>
        </w:tc>
      </w:tr>
      <w:tr w:rsidR="00946A67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Quizzes</w:t>
            </w:r>
            <w:r w:rsidRPr="007F4261">
              <w:rPr>
                <w:rFonts w:ascii="Tahoma" w:hAnsi="Tahoma" w:cs="Tahoma"/>
              </w:rPr>
              <w:t xml:space="preserve">                                          </w:t>
            </w:r>
            <w:r w:rsidR="007F4261">
              <w:rPr>
                <w:rFonts w:ascii="Tahoma" w:hAnsi="Tahoma" w:cs="Tahoma"/>
              </w:rPr>
              <w:t xml:space="preserve">  </w:t>
            </w:r>
            <w:r w:rsidRPr="007F4261">
              <w:rPr>
                <w:rFonts w:ascii="Tahoma" w:hAnsi="Tahoma" w:cs="Tahoma"/>
              </w:rPr>
              <w:t xml:space="preserve">20%  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Quiz 1 </w:t>
            </w:r>
            <w:proofErr w:type="gramStart"/>
            <w:r>
              <w:rPr>
                <w:rFonts w:ascii="Tahoma" w:hAnsi="Tahoma" w:cs="Tahoma"/>
              </w:rPr>
              <w:t>-  10</w:t>
            </w:r>
            <w:proofErr w:type="gramEnd"/>
            <w:r>
              <w:rPr>
                <w:rFonts w:ascii="Tahoma" w:hAnsi="Tahoma" w:cs="Tahoma"/>
              </w:rPr>
              <w:t>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Quiz 2 </w:t>
            </w:r>
            <w:proofErr w:type="gramStart"/>
            <w:r>
              <w:rPr>
                <w:rFonts w:ascii="Tahoma" w:hAnsi="Tahoma" w:cs="Tahoma"/>
              </w:rPr>
              <w:t>-  10</w:t>
            </w:r>
            <w:proofErr w:type="gramEnd"/>
            <w:r>
              <w:rPr>
                <w:rFonts w:ascii="Tahoma" w:hAnsi="Tahoma" w:cs="Tahoma"/>
              </w:rPr>
              <w:t>%</w:t>
            </w:r>
          </w:p>
          <w:p w:rsidR="007F4261" w:rsidRP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946A67" w:rsidRDefault="00946A67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 xml:space="preserve">Assignment </w:t>
            </w:r>
            <w:r w:rsidRPr="007F4261">
              <w:rPr>
                <w:rFonts w:ascii="Tahoma" w:hAnsi="Tahoma" w:cs="Tahoma"/>
              </w:rPr>
              <w:t xml:space="preserve">                                     20%  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Assign 1 – 10 %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Assign 2 – 10%</w:t>
            </w:r>
          </w:p>
          <w:p w:rsid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7F4261" w:rsidRDefault="002A0C9A" w:rsidP="007F4261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Midterm</w:t>
            </w:r>
            <w:r w:rsidR="007F4261" w:rsidRPr="00BB2DED">
              <w:rPr>
                <w:rFonts w:ascii="Tahoma" w:hAnsi="Tahoma" w:cs="Tahoma"/>
                <w:b/>
              </w:rPr>
              <w:t xml:space="preserve"> Exam</w:t>
            </w:r>
            <w:r w:rsidR="007F4261">
              <w:rPr>
                <w:rFonts w:ascii="Tahoma" w:hAnsi="Tahoma" w:cs="Tahoma"/>
              </w:rPr>
              <w:t xml:space="preserve">                                </w:t>
            </w:r>
            <w:r>
              <w:rPr>
                <w:rFonts w:ascii="Tahoma" w:hAnsi="Tahoma" w:cs="Tahoma"/>
              </w:rPr>
              <w:t xml:space="preserve"> </w:t>
            </w:r>
            <w:r w:rsidR="007F4261">
              <w:rPr>
                <w:rFonts w:ascii="Tahoma" w:hAnsi="Tahoma" w:cs="Tahoma"/>
              </w:rPr>
              <w:t xml:space="preserve"> 20%</w:t>
            </w:r>
          </w:p>
          <w:p w:rsidR="007F4261" w:rsidRPr="007F4261" w:rsidRDefault="007F4261" w:rsidP="007F4261">
            <w:pPr>
              <w:widowControl w:val="0"/>
              <w:rPr>
                <w:rFonts w:ascii="Tahoma" w:hAnsi="Tahoma" w:cs="Tahoma"/>
              </w:rPr>
            </w:pPr>
          </w:p>
          <w:p w:rsidR="00946A67" w:rsidRPr="00BB2DED" w:rsidRDefault="00BB2DED" w:rsidP="007D0227">
            <w:pPr>
              <w:widowControl w:val="0"/>
              <w:rPr>
                <w:rFonts w:ascii="Tahoma" w:hAnsi="Tahoma" w:cs="Tahoma"/>
              </w:rPr>
            </w:pPr>
            <w:r w:rsidRPr="00BB2DED">
              <w:rPr>
                <w:rFonts w:ascii="Tahoma" w:hAnsi="Tahoma" w:cs="Tahoma"/>
                <w:b/>
              </w:rPr>
              <w:t>Final Exam</w:t>
            </w:r>
            <w:r>
              <w:rPr>
                <w:rFonts w:ascii="Tahoma" w:hAnsi="Tahoma" w:cs="Tahoma"/>
              </w:rPr>
              <w:t xml:space="preserve">                                        </w:t>
            </w:r>
            <w:r w:rsidR="00946A67" w:rsidRPr="00BB2DED">
              <w:rPr>
                <w:rFonts w:ascii="Tahoma" w:hAnsi="Tahoma" w:cs="Tahoma"/>
              </w:rPr>
              <w:t>40%</w:t>
            </w:r>
          </w:p>
          <w:p w:rsidR="00946A67" w:rsidRPr="007F4261" w:rsidRDefault="00946A67" w:rsidP="007D0227">
            <w:pPr>
              <w:widowControl w:val="0"/>
              <w:rPr>
                <w:rFonts w:ascii="Tahoma" w:hAnsi="Tahoma" w:cs="Tahoma"/>
              </w:rPr>
            </w:pPr>
          </w:p>
          <w:p w:rsidR="00946A67" w:rsidRPr="0002480C" w:rsidRDefault="00946A67" w:rsidP="007D0227">
            <w:pPr>
              <w:widowControl w:val="0"/>
              <w:rPr>
                <w:rFonts w:ascii="Tahoma" w:hAnsi="Tahoma" w:cs="Tahoma"/>
                <w:b/>
                <w:u w:val="single"/>
              </w:rPr>
            </w:pPr>
            <w:r w:rsidRPr="00BB2DED">
              <w:rPr>
                <w:rFonts w:ascii="Tahoma" w:hAnsi="Tahoma" w:cs="Tahoma"/>
                <w:b/>
              </w:rPr>
              <w:t xml:space="preserve">Total </w:t>
            </w:r>
            <w:r w:rsidRPr="007F4261">
              <w:rPr>
                <w:rFonts w:ascii="Tahoma" w:hAnsi="Tahoma" w:cs="Tahoma"/>
              </w:rPr>
              <w:t xml:space="preserve">                                              100%</w:t>
            </w:r>
          </w:p>
        </w:tc>
      </w:tr>
    </w:tbl>
    <w:p w:rsidR="002A0C9A" w:rsidRDefault="002A0C9A" w:rsidP="00946A67">
      <w:pPr>
        <w:rPr>
          <w:rFonts w:hint="cs"/>
        </w:rPr>
      </w:pPr>
    </w:p>
    <w:p w:rsidR="00556FBF" w:rsidRDefault="00556FBF" w:rsidP="00946A67"/>
    <w:p w:rsidR="002A0C9A" w:rsidRDefault="002A0C9A" w:rsidP="00946A67"/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753"/>
        <w:gridCol w:w="1709"/>
        <w:gridCol w:w="4044"/>
        <w:gridCol w:w="2510"/>
      </w:tblGrid>
      <w:tr w:rsidR="00946A67" w:rsidRPr="00AC4AB3">
        <w:trPr>
          <w:trHeight w:val="67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FE2EB9" w:rsidRDefault="00946A67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A67" w:rsidRPr="00AC4AB3" w:rsidRDefault="00946A67" w:rsidP="007D0227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2442CA" w:rsidRDefault="00946A67" w:rsidP="007D0227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C44812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5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6A67" w:rsidRPr="00AC4AB3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A67" w:rsidRPr="00AC4AB3" w:rsidRDefault="00946A67" w:rsidP="007D0227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946A67" w:rsidRDefault="00946A67" w:rsidP="00946A67"/>
    <w:p w:rsidR="00946A67" w:rsidRDefault="00946A67" w:rsidP="00946A67"/>
    <w:tbl>
      <w:tblPr>
        <w:tblStyle w:val="TableGrid"/>
        <w:tblW w:w="0" w:type="auto"/>
        <w:tblLook w:val="04A0"/>
      </w:tblPr>
      <w:tblGrid>
        <w:gridCol w:w="1224"/>
        <w:gridCol w:w="3677"/>
        <w:gridCol w:w="2075"/>
        <w:gridCol w:w="2600"/>
      </w:tblGrid>
      <w:tr w:rsidR="002A0C9A" w:rsidRPr="00900CDA">
        <w:trPr>
          <w:trHeight w:val="330"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C9A" w:rsidRPr="00E7393E" w:rsidRDefault="002A0C9A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Course Outline</w:t>
            </w:r>
          </w:p>
          <w:p w:rsidR="002A0C9A" w:rsidRPr="00900CDA" w:rsidRDefault="002A0C9A" w:rsidP="007D0227">
            <w:pPr>
              <w:widowControl w:val="0"/>
              <w:rPr>
                <w:rFonts w:ascii="Tahoma" w:hAnsi="Tahoma" w:cs="Tahoma"/>
              </w:rPr>
            </w:pPr>
          </w:p>
        </w:tc>
      </w:tr>
      <w:tr w:rsidR="00931643" w:rsidRPr="00900CDA">
        <w:trPr>
          <w:trHeight w:val="390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Chapters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3" w:rsidRPr="004D7B81" w:rsidRDefault="00931643" w:rsidP="007D0227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/Focus</w:t>
            </w:r>
          </w:p>
        </w:tc>
      </w:tr>
      <w:tr w:rsidR="00931643" w:rsidRPr="00900CDA"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59643E" w:rsidRDefault="00931643" w:rsidP="007D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Introduction             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proofErr w:type="gramStart"/>
            <w:r>
              <w:t>Chapter  1</w:t>
            </w:r>
            <w:proofErr w:type="gramEnd"/>
          </w:p>
        </w:tc>
        <w:tc>
          <w:tcPr>
            <w:tcW w:w="2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is a broad overview of </w:t>
            </w:r>
            <w:r w:rsidR="00F901BE">
              <w:rPr>
                <w:rFonts w:ascii="Arial" w:hAnsi="Arial" w:cs="Arial"/>
              </w:rPr>
              <w:t>the</w:t>
            </w:r>
            <w:r w:rsidRPr="002C2B98">
              <w:rPr>
                <w:rFonts w:ascii="Arial" w:hAnsi="Arial" w:cs="Arial"/>
              </w:rPr>
              <w:t xml:space="preserve"> early history </w:t>
            </w:r>
            <w:r w:rsidR="00F901BE">
              <w:rPr>
                <w:rFonts w:ascii="Arial" w:hAnsi="Arial" w:cs="Arial"/>
              </w:rPr>
              <w:t xml:space="preserve">of Industrial and Organizational Psychology </w:t>
            </w:r>
            <w:r w:rsidRPr="002C2B98">
              <w:rPr>
                <w:rFonts w:ascii="Arial" w:hAnsi="Arial" w:cs="Arial"/>
              </w:rPr>
              <w:t xml:space="preserve">and </w:t>
            </w:r>
            <w:r w:rsidR="00F901BE">
              <w:rPr>
                <w:rFonts w:ascii="Arial" w:hAnsi="Arial" w:cs="Arial"/>
              </w:rPr>
              <w:t>its</w:t>
            </w:r>
            <w:r w:rsidRPr="002C2B98">
              <w:rPr>
                <w:rFonts w:ascii="Arial" w:hAnsi="Arial" w:cs="Arial"/>
              </w:rPr>
              <w:t xml:space="preserve"> development.</w:t>
            </w:r>
          </w:p>
          <w:p w:rsidR="00931643" w:rsidRPr="002C2B98" w:rsidRDefault="00931643" w:rsidP="007D0227">
            <w:pPr>
              <w:rPr>
                <w:rFonts w:ascii="Arial" w:hAnsi="Arial" w:cs="Arial"/>
              </w:rPr>
            </w:pPr>
          </w:p>
        </w:tc>
      </w:tr>
      <w:tr w:rsidR="00931643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1643" w:rsidRPr="00302F17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Analysis</w:t>
            </w:r>
            <w:r w:rsidRPr="00302F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proofErr w:type="gramStart"/>
            <w:r>
              <w:t>Chapter  3</w:t>
            </w:r>
            <w:proofErr w:type="gramEnd"/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E6E9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introduces</w:t>
            </w:r>
            <w:r w:rsidR="007E6E97">
              <w:rPr>
                <w:rFonts w:ascii="Arial" w:hAnsi="Arial" w:cs="Arial"/>
              </w:rPr>
              <w:t xml:space="preserve"> the systematic study of </w:t>
            </w:r>
            <w:r w:rsidRPr="002C2B98">
              <w:rPr>
                <w:rFonts w:ascii="Arial" w:hAnsi="Arial" w:cs="Arial"/>
              </w:rPr>
              <w:t xml:space="preserve">job analysis </w:t>
            </w:r>
            <w:r w:rsidR="007E6E97">
              <w:rPr>
                <w:rFonts w:ascii="Arial" w:hAnsi="Arial" w:cs="Arial"/>
              </w:rPr>
              <w:t>and how this</w:t>
            </w:r>
            <w:r w:rsidRPr="002C2B98">
              <w:rPr>
                <w:rFonts w:ascii="Arial" w:hAnsi="Arial" w:cs="Arial"/>
              </w:rPr>
              <w:t xml:space="preserve"> relates to other personnel functions.</w:t>
            </w:r>
          </w:p>
        </w:tc>
      </w:tr>
      <w:tr w:rsidR="00931643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04075A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Selection</w:t>
            </w:r>
            <w:r w:rsidRPr="000407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0F7750">
            <w:pPr>
              <w:jc w:val="center"/>
            </w:pPr>
            <w:proofErr w:type="gramStart"/>
            <w:r>
              <w:t>Chapter  4</w:t>
            </w:r>
            <w:proofErr w:type="gramEnd"/>
          </w:p>
          <w:p w:rsidR="00931643" w:rsidRDefault="00931643" w:rsidP="000F7750">
            <w:pPr>
              <w:pStyle w:val="ListParagraph"/>
              <w:jc w:val="center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The strengths and weaknesses of the tools used in the selection process are examined.  The guidance and regulations with regard to protection against discrimination in employment </w:t>
            </w:r>
            <w:r w:rsidR="0074780B">
              <w:rPr>
                <w:rFonts w:ascii="Arial" w:hAnsi="Arial" w:cs="Arial"/>
              </w:rPr>
              <w:t>are</w:t>
            </w:r>
            <w:r w:rsidRPr="002C2B98">
              <w:rPr>
                <w:rFonts w:ascii="Arial" w:hAnsi="Arial" w:cs="Arial"/>
              </w:rPr>
              <w:t xml:space="preserve"> </w:t>
            </w:r>
            <w:r w:rsidR="00E7254B">
              <w:rPr>
                <w:rFonts w:ascii="Arial" w:hAnsi="Arial" w:cs="Arial"/>
              </w:rPr>
              <w:t xml:space="preserve">also </w:t>
            </w:r>
            <w:r w:rsidRPr="002C2B98">
              <w:rPr>
                <w:rFonts w:ascii="Arial" w:hAnsi="Arial" w:cs="Arial"/>
              </w:rPr>
              <w:t>discussed.</w:t>
            </w:r>
          </w:p>
          <w:p w:rsidR="00931643" w:rsidRPr="002C2B98" w:rsidRDefault="00931643" w:rsidP="007D022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74780B" w:rsidRDefault="0074780B">
      <w:r>
        <w:br w:type="page"/>
      </w:r>
    </w:p>
    <w:tbl>
      <w:tblPr>
        <w:tblStyle w:val="TableGrid"/>
        <w:tblW w:w="0" w:type="auto"/>
        <w:tblLook w:val="04A0"/>
      </w:tblPr>
      <w:tblGrid>
        <w:gridCol w:w="1224"/>
        <w:gridCol w:w="3677"/>
        <w:gridCol w:w="2075"/>
        <w:gridCol w:w="2600"/>
      </w:tblGrid>
      <w:tr w:rsidR="00556FBF" w:rsidRPr="00900CDA">
        <w:trPr>
          <w:trHeight w:val="2318"/>
        </w:trPr>
        <w:tc>
          <w:tcPr>
            <w:tcW w:w="12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Pr="00900CDA" w:rsidRDefault="00556FB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C924C9" w:rsidRDefault="00556FBF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Evaluating Employee Performance</w:t>
            </w:r>
          </w:p>
        </w:tc>
        <w:tc>
          <w:tcPr>
            <w:tcW w:w="20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0F7750">
            <w:pPr>
              <w:jc w:val="center"/>
            </w:pPr>
            <w:proofErr w:type="gramStart"/>
            <w:r>
              <w:t>Chapter  5</w:t>
            </w:r>
            <w:proofErr w:type="gramEnd"/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E7254B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chapter</w:t>
            </w:r>
            <w:r w:rsidRPr="002C2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explains</w:t>
            </w:r>
            <w:r w:rsidRPr="002C2B98">
              <w:rPr>
                <w:rFonts w:ascii="Arial" w:hAnsi="Arial" w:cs="Arial"/>
              </w:rPr>
              <w:t xml:space="preserve"> the purposes of performance</w:t>
            </w:r>
            <w:r>
              <w:rPr>
                <w:rFonts w:ascii="Arial" w:hAnsi="Arial" w:cs="Arial"/>
              </w:rPr>
              <w:t xml:space="preserve"> appraisals. V</w:t>
            </w:r>
            <w:r w:rsidRPr="002C2B98">
              <w:rPr>
                <w:rFonts w:ascii="Arial" w:hAnsi="Arial" w:cs="Arial"/>
              </w:rPr>
              <w:t>arious performance rating methods and their advantages and disadvantages</w:t>
            </w:r>
            <w:r>
              <w:rPr>
                <w:rFonts w:ascii="Arial" w:hAnsi="Arial" w:cs="Arial"/>
              </w:rPr>
              <w:t xml:space="preserve"> are discussed</w:t>
            </w:r>
            <w:r w:rsidRPr="002C2B98">
              <w:rPr>
                <w:rFonts w:ascii="Arial" w:hAnsi="Arial" w:cs="Arial"/>
              </w:rPr>
              <w:t xml:space="preserve">.  It also </w:t>
            </w:r>
            <w:r>
              <w:rPr>
                <w:rFonts w:ascii="Arial" w:hAnsi="Arial" w:cs="Arial"/>
              </w:rPr>
              <w:t>highlights</w:t>
            </w:r>
            <w:r w:rsidRPr="002C2B98">
              <w:rPr>
                <w:rFonts w:ascii="Arial" w:hAnsi="Arial" w:cs="Arial"/>
              </w:rPr>
              <w:t xml:space="preserve"> problems and pitfalls </w:t>
            </w:r>
            <w:r>
              <w:rPr>
                <w:rFonts w:ascii="Arial" w:hAnsi="Arial" w:cs="Arial"/>
              </w:rPr>
              <w:t xml:space="preserve">involved </w:t>
            </w:r>
            <w:r w:rsidRPr="002C2B98">
              <w:rPr>
                <w:rFonts w:ascii="Arial" w:hAnsi="Arial" w:cs="Arial"/>
              </w:rPr>
              <w:t>in appraisals.</w:t>
            </w:r>
          </w:p>
        </w:tc>
      </w:tr>
      <w:tr w:rsidR="00556FBF" w:rsidRPr="00900CDA"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56FBF" w:rsidRDefault="00556FBF" w:rsidP="004873B1">
            <w:pPr>
              <w:jc w:val="center"/>
              <w:rPr>
                <w:rFonts w:ascii="Arial" w:hAnsi="Arial" w:cs="Arial" w:hint="cs"/>
                <w:b/>
              </w:rPr>
            </w:pPr>
            <w:r>
              <w:rPr>
                <w:rFonts w:ascii="Arial" w:hAnsi="Arial" w:cs="Arial"/>
                <w:b/>
              </w:rPr>
              <w:t>Quiz 1</w:t>
            </w:r>
          </w:p>
          <w:p w:rsidR="00556FBF" w:rsidRDefault="00556FBF" w:rsidP="004873B1">
            <w:pPr>
              <w:jc w:val="center"/>
              <w:rPr>
                <w:rFonts w:ascii="Arial" w:hAnsi="Arial" w:cs="Arial" w:hint="cs"/>
                <w:b/>
              </w:rPr>
            </w:pP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7D0227"/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7D0227">
            <w:pPr>
              <w:rPr>
                <w:rFonts w:ascii="Arial" w:hAnsi="Arial" w:cs="Arial"/>
              </w:rPr>
            </w:pPr>
          </w:p>
        </w:tc>
      </w:tr>
      <w:tr w:rsidR="00931643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59643E" w:rsidRDefault="00931643" w:rsidP="007D02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Employee Training &amp; Development </w:t>
            </w:r>
          </w:p>
          <w:p w:rsidR="00931643" w:rsidRPr="0059643E" w:rsidRDefault="00931643" w:rsidP="007D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931643">
            <w:pPr>
              <w:pStyle w:val="ListParagraph"/>
            </w:pPr>
            <w:proofErr w:type="gramStart"/>
            <w:r>
              <w:t>Chapter  6</w:t>
            </w:r>
            <w:proofErr w:type="gramEnd"/>
          </w:p>
          <w:p w:rsidR="00931643" w:rsidRDefault="00931643" w:rsidP="007D0227">
            <w:pPr>
              <w:pStyle w:val="ListParagraph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F30F36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</w:t>
            </w:r>
            <w:r w:rsidR="00E7254B" w:rsidRPr="002C2B98">
              <w:rPr>
                <w:rFonts w:ascii="Arial" w:hAnsi="Arial" w:cs="Arial"/>
              </w:rPr>
              <w:t>discusses</w:t>
            </w:r>
            <w:r w:rsidR="00E7254B">
              <w:rPr>
                <w:rFonts w:ascii="Arial" w:hAnsi="Arial" w:cs="Arial"/>
              </w:rPr>
              <w:t xml:space="preserve"> types of</w:t>
            </w:r>
            <w:r w:rsidRPr="002C2B98">
              <w:rPr>
                <w:rFonts w:ascii="Arial" w:hAnsi="Arial" w:cs="Arial"/>
              </w:rPr>
              <w:t xml:space="preserve"> training programs</w:t>
            </w:r>
            <w:r w:rsidR="00E7254B">
              <w:rPr>
                <w:rFonts w:ascii="Arial" w:hAnsi="Arial" w:cs="Arial"/>
              </w:rPr>
              <w:t>, needs and evaluation.</w:t>
            </w:r>
            <w:r w:rsidRPr="002C2B98">
              <w:rPr>
                <w:rFonts w:ascii="Arial" w:hAnsi="Arial" w:cs="Arial"/>
              </w:rPr>
              <w:t xml:space="preserve">  </w:t>
            </w:r>
          </w:p>
        </w:tc>
      </w:tr>
      <w:tr w:rsidR="00931643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900CDA" w:rsidRDefault="00931643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32EDA" w:rsidRDefault="00931643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</w:t>
            </w:r>
            <w:r w:rsidRPr="00232E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Default="00931643" w:rsidP="00931643">
            <w:pPr>
              <w:pStyle w:val="ListParagraph"/>
            </w:pPr>
            <w:r>
              <w:t>Chapter   7</w:t>
            </w:r>
          </w:p>
          <w:p w:rsidR="00931643" w:rsidRDefault="00931643" w:rsidP="007D0227">
            <w:pPr>
              <w:pStyle w:val="ListParagraph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931643" w:rsidRPr="002C2B98" w:rsidRDefault="00931643" w:rsidP="007D0227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examines various theories of job m</w:t>
            </w:r>
            <w:r w:rsidR="00D075C0">
              <w:rPr>
                <w:rFonts w:ascii="Arial" w:hAnsi="Arial" w:cs="Arial"/>
              </w:rPr>
              <w:t>otivation and their application</w:t>
            </w:r>
            <w:r w:rsidRPr="002C2B98">
              <w:rPr>
                <w:rFonts w:ascii="Arial" w:hAnsi="Arial" w:cs="Arial"/>
              </w:rPr>
              <w:t>.  The relationship between motivation and work performance will be discussed.</w:t>
            </w:r>
          </w:p>
        </w:tc>
      </w:tr>
      <w:tr w:rsidR="00556FBF" w:rsidRPr="00900CDA">
        <w:tc>
          <w:tcPr>
            <w:tcW w:w="12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Pr="00900CDA" w:rsidRDefault="00556FB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1759F" w:rsidRDefault="00556FBF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Job Satisfaction &amp; Positive Employee Attitudes &amp; Behaviors</w:t>
            </w:r>
          </w:p>
        </w:tc>
        <w:tc>
          <w:tcPr>
            <w:tcW w:w="20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0F7750">
            <w:pPr>
              <w:pStyle w:val="ListParagraph"/>
            </w:pPr>
            <w:r>
              <w:t>Chapter   8</w:t>
            </w:r>
          </w:p>
          <w:p w:rsidR="00556FBF" w:rsidRPr="00232EDA" w:rsidRDefault="00556FBF" w:rsidP="007D0227"/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E7254B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is about the relationship between job satisfaction and organizational commitment</w:t>
            </w:r>
            <w:r>
              <w:rPr>
                <w:rFonts w:ascii="Arial" w:hAnsi="Arial" w:cs="Arial"/>
              </w:rPr>
              <w:t xml:space="preserve">. </w:t>
            </w:r>
            <w:r w:rsidRPr="002C2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addition, f</w:t>
            </w:r>
            <w:r w:rsidRPr="002C2B98">
              <w:rPr>
                <w:rFonts w:ascii="Arial" w:hAnsi="Arial" w:cs="Arial"/>
              </w:rPr>
              <w:t>actors that increase positive attitudes and behaviors will be discussed.</w:t>
            </w:r>
          </w:p>
        </w:tc>
      </w:tr>
      <w:tr w:rsidR="00556FBF" w:rsidRPr="00900CDA">
        <w:trPr>
          <w:trHeight w:val="548"/>
        </w:trPr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56FBF" w:rsidRPr="00594A04" w:rsidRDefault="00556FBF" w:rsidP="00594A04">
            <w:pPr>
              <w:jc w:val="center"/>
              <w:rPr>
                <w:rFonts w:ascii="Arial" w:hAnsi="Arial" w:cs="Arial"/>
                <w:b/>
              </w:rPr>
            </w:pPr>
            <w:r w:rsidRPr="00594A04">
              <w:rPr>
                <w:rFonts w:ascii="Arial" w:hAnsi="Arial" w:cs="Arial"/>
                <w:b/>
              </w:rPr>
              <w:t>Assignment 1: Presentations</w:t>
            </w: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Pr="00232EDA" w:rsidRDefault="00556FBF" w:rsidP="007D0227"/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7D0227">
            <w:pPr>
              <w:rPr>
                <w:rFonts w:ascii="Arial" w:hAnsi="Arial" w:cs="Arial"/>
              </w:rPr>
            </w:pPr>
          </w:p>
        </w:tc>
      </w:tr>
      <w:tr w:rsidR="005F59CF" w:rsidRPr="00900CDA">
        <w:trPr>
          <w:trHeight w:val="548"/>
        </w:trPr>
        <w:tc>
          <w:tcPr>
            <w:tcW w:w="95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59CF" w:rsidRPr="005F59CF" w:rsidRDefault="005F59CF" w:rsidP="005F5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F59CF">
              <w:rPr>
                <w:rFonts w:ascii="Arial" w:hAnsi="Arial" w:cs="Arial"/>
                <w:b/>
                <w:bCs/>
                <w:sz w:val="22"/>
                <w:szCs w:val="22"/>
              </w:rPr>
              <w:t>Eid</w:t>
            </w:r>
            <w:proofErr w:type="spellEnd"/>
            <w:r w:rsidRPr="005F5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AL-ADHA Vacation (20/10/2012  </w:t>
            </w:r>
            <w:proofErr w:type="gramStart"/>
            <w:r w:rsidRPr="005F59CF">
              <w:rPr>
                <w:rFonts w:ascii="Arial" w:hAnsi="Arial" w:cs="Arial"/>
                <w:b/>
                <w:bCs/>
                <w:sz w:val="22"/>
                <w:szCs w:val="22"/>
              </w:rPr>
              <w:t>-    31</w:t>
            </w:r>
            <w:proofErr w:type="gramEnd"/>
            <w:r w:rsidRPr="005F59CF">
              <w:rPr>
                <w:rFonts w:ascii="Arial" w:hAnsi="Arial" w:cs="Arial"/>
                <w:b/>
                <w:bCs/>
                <w:sz w:val="22"/>
                <w:szCs w:val="22"/>
              </w:rPr>
              <w:t>/10/2012)</w:t>
            </w:r>
          </w:p>
        </w:tc>
      </w:tr>
      <w:tr w:rsidR="005F59CF" w:rsidRPr="00900CDA">
        <w:trPr>
          <w:trHeight w:val="737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9CF" w:rsidRPr="00104F33" w:rsidRDefault="005F59CF" w:rsidP="00354B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 Stress &amp; Negative Employee Attitudes &amp; Behaviors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354BA6">
            <w:pPr>
              <w:pStyle w:val="ListParagraph"/>
            </w:pPr>
            <w:proofErr w:type="gramStart"/>
            <w:r>
              <w:t>Chapter  9</w:t>
            </w:r>
            <w:proofErr w:type="gramEnd"/>
          </w:p>
          <w:p w:rsidR="005F59CF" w:rsidRDefault="005F59CF" w:rsidP="00354BA6">
            <w:pPr>
              <w:pStyle w:val="ListParagraph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354BA6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</w:t>
            </w:r>
            <w:r>
              <w:rPr>
                <w:rFonts w:ascii="Arial" w:hAnsi="Arial" w:cs="Arial"/>
              </w:rPr>
              <w:t>examines</w:t>
            </w:r>
            <w:r w:rsidRPr="002C2B98">
              <w:rPr>
                <w:rFonts w:ascii="Arial" w:hAnsi="Arial" w:cs="Arial"/>
              </w:rPr>
              <w:t xml:space="preserve"> different sources</w:t>
            </w:r>
            <w:r>
              <w:rPr>
                <w:rFonts w:ascii="Arial" w:hAnsi="Arial" w:cs="Arial"/>
              </w:rPr>
              <w:t xml:space="preserve"> of stress</w:t>
            </w:r>
            <w:r w:rsidRPr="002C2B98">
              <w:rPr>
                <w:rFonts w:ascii="Arial" w:hAnsi="Arial" w:cs="Arial"/>
              </w:rPr>
              <w:t xml:space="preserve">, measurement, </w:t>
            </w:r>
            <w:r>
              <w:rPr>
                <w:rFonts w:ascii="Arial" w:hAnsi="Arial" w:cs="Arial"/>
              </w:rPr>
              <w:t xml:space="preserve">mental and physical effects and </w:t>
            </w:r>
            <w:r w:rsidRPr="002C2B98">
              <w:rPr>
                <w:rFonts w:ascii="Arial" w:hAnsi="Arial" w:cs="Arial"/>
              </w:rPr>
              <w:t>coping strategies.</w:t>
            </w:r>
          </w:p>
        </w:tc>
      </w:tr>
      <w:tr w:rsidR="005F59CF" w:rsidRPr="00900CDA">
        <w:trPr>
          <w:trHeight w:val="710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59CF" w:rsidRDefault="005F59CF" w:rsidP="005F5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Midterm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59CF" w:rsidRDefault="005F59CF" w:rsidP="005F59CF">
            <w:pPr>
              <w:pStyle w:val="ListParagraph"/>
              <w:jc w:val="center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59CF" w:rsidRPr="002C2B98" w:rsidRDefault="005F59CF" w:rsidP="005F59CF">
            <w:pPr>
              <w:jc w:val="center"/>
              <w:rPr>
                <w:rFonts w:ascii="Arial" w:hAnsi="Arial" w:cs="Arial"/>
              </w:rPr>
            </w:pPr>
          </w:p>
        </w:tc>
      </w:tr>
      <w:tr w:rsidR="005F59CF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703A33" w:rsidRDefault="005F59CF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Processes in Work Organizations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931643">
            <w:pPr>
              <w:pStyle w:val="ListParagraph"/>
            </w:pPr>
            <w:proofErr w:type="gramStart"/>
            <w:r>
              <w:t>Chapter  11</w:t>
            </w:r>
            <w:proofErr w:type="gramEnd"/>
          </w:p>
          <w:p w:rsidR="005F59CF" w:rsidRDefault="005F59CF" w:rsidP="007D0227">
            <w:pPr>
              <w:pStyle w:val="ListParagraph"/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D075C0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lecture introduces central concepts of group dynamics </w:t>
            </w:r>
            <w:proofErr w:type="gramStart"/>
            <w:r>
              <w:rPr>
                <w:rFonts w:ascii="Arial" w:hAnsi="Arial" w:cs="Arial"/>
              </w:rPr>
              <w:t xml:space="preserve">in </w:t>
            </w:r>
            <w:r w:rsidRPr="002C2B98">
              <w:rPr>
                <w:rFonts w:ascii="Arial" w:hAnsi="Arial" w:cs="Arial"/>
              </w:rPr>
              <w:t xml:space="preserve"> work</w:t>
            </w:r>
            <w:proofErr w:type="gramEnd"/>
            <w:r w:rsidRPr="002C2B98">
              <w:rPr>
                <w:rFonts w:ascii="Arial" w:hAnsi="Arial" w:cs="Arial"/>
              </w:rPr>
              <w:t xml:space="preserve"> settings including organizational socialization, group conformity, cohesivene</w:t>
            </w:r>
            <w:r>
              <w:rPr>
                <w:rFonts w:ascii="Arial" w:hAnsi="Arial" w:cs="Arial"/>
              </w:rPr>
              <w:t>ss, conflicts, groupthink</w:t>
            </w:r>
            <w:r w:rsidRPr="002C2B98">
              <w:rPr>
                <w:rFonts w:ascii="Arial" w:hAnsi="Arial" w:cs="Arial"/>
              </w:rPr>
              <w:t xml:space="preserve"> and polarization.</w:t>
            </w:r>
          </w:p>
        </w:tc>
      </w:tr>
      <w:tr w:rsidR="00556FBF" w:rsidRPr="00900CDA">
        <w:tc>
          <w:tcPr>
            <w:tcW w:w="12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Pr="00900CDA" w:rsidRDefault="00556FB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7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56FBF" w:rsidRPr="005405A9" w:rsidRDefault="00556FBF" w:rsidP="007D0227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Leadership</w:t>
            </w:r>
            <w:r w:rsidRPr="005405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Pr="0002073F" w:rsidRDefault="00556FBF" w:rsidP="000F7750">
            <w:pPr>
              <w:jc w:val="center"/>
              <w:rPr>
                <w:sz w:val="22"/>
                <w:szCs w:val="22"/>
              </w:rPr>
            </w:pPr>
            <w:proofErr w:type="gramStart"/>
            <w:r w:rsidRPr="0002073F">
              <w:rPr>
                <w:sz w:val="22"/>
                <w:szCs w:val="22"/>
              </w:rPr>
              <w:t>Chapter</w:t>
            </w:r>
            <w:r>
              <w:rPr>
                <w:sz w:val="22"/>
                <w:szCs w:val="22"/>
              </w:rPr>
              <w:t xml:space="preserve">  12</w:t>
            </w:r>
            <w:proofErr w:type="gramEnd"/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D075C0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covers different theories of leadership and discusses their merits and demerits in depth.  </w:t>
            </w:r>
          </w:p>
        </w:tc>
      </w:tr>
      <w:tr w:rsidR="00556FBF" w:rsidRPr="00900CDA"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56FBF" w:rsidRDefault="00556FBF" w:rsidP="004873B1">
            <w:pPr>
              <w:jc w:val="center"/>
              <w:rPr>
                <w:rFonts w:ascii="Arial" w:hAnsi="Arial" w:cs="Arial" w:hint="cs"/>
                <w:b/>
              </w:rPr>
            </w:pPr>
            <w:r>
              <w:rPr>
                <w:rFonts w:ascii="Arial" w:hAnsi="Arial" w:cs="Arial"/>
                <w:b/>
              </w:rPr>
              <w:t>Quiz 2</w:t>
            </w:r>
          </w:p>
          <w:p w:rsidR="00556FBF" w:rsidRDefault="00556FBF" w:rsidP="004873B1">
            <w:pPr>
              <w:jc w:val="center"/>
              <w:rPr>
                <w:rFonts w:ascii="Arial" w:hAnsi="Arial" w:cs="Arial" w:hint="cs"/>
                <w:b/>
              </w:rPr>
            </w:pP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Pr="0002073F" w:rsidRDefault="00556FBF" w:rsidP="000F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7D0227">
            <w:pPr>
              <w:rPr>
                <w:rFonts w:ascii="Arial" w:hAnsi="Arial" w:cs="Arial"/>
              </w:rPr>
            </w:pPr>
          </w:p>
        </w:tc>
      </w:tr>
      <w:tr w:rsidR="005F59CF" w:rsidRPr="00900CDA">
        <w:trPr>
          <w:trHeight w:val="377"/>
        </w:trPr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5F59CF" w:rsidRPr="00900CDA" w:rsidRDefault="005F59CF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002D37" w:rsidRDefault="005F59CF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02073F" w:rsidRDefault="005F59CF" w:rsidP="000F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7D0227">
            <w:pPr>
              <w:rPr>
                <w:rFonts w:ascii="Arial" w:hAnsi="Arial" w:cs="Arial"/>
              </w:rPr>
            </w:pPr>
          </w:p>
        </w:tc>
      </w:tr>
      <w:tr w:rsidR="00556FBF" w:rsidRPr="00900CDA">
        <w:tc>
          <w:tcPr>
            <w:tcW w:w="122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Pr="00900CDA" w:rsidRDefault="00556FB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900CDA" w:rsidRDefault="00556FBF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Influence, Power, &amp; Politics</w:t>
            </w:r>
          </w:p>
        </w:tc>
        <w:tc>
          <w:tcPr>
            <w:tcW w:w="20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0F7750">
            <w:pPr>
              <w:jc w:val="center"/>
              <w:rPr>
                <w:sz w:val="32"/>
                <w:szCs w:val="32"/>
              </w:rPr>
            </w:pPr>
            <w:proofErr w:type="gramStart"/>
            <w:r w:rsidRPr="00AF4A00">
              <w:rPr>
                <w:sz w:val="22"/>
                <w:szCs w:val="22"/>
              </w:rPr>
              <w:t>Chapter  13</w:t>
            </w:r>
            <w:proofErr w:type="gramEnd"/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BE494C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This topic discusse</w:t>
            </w:r>
            <w:r>
              <w:rPr>
                <w:rFonts w:ascii="Arial" w:hAnsi="Arial" w:cs="Arial"/>
              </w:rPr>
              <w:t>s</w:t>
            </w:r>
            <w:r w:rsidRPr="002C2B98">
              <w:rPr>
                <w:rFonts w:ascii="Arial" w:hAnsi="Arial" w:cs="Arial"/>
              </w:rPr>
              <w:t xml:space="preserve"> power as a major force in work organizations.  </w:t>
            </w:r>
            <w:r>
              <w:rPr>
                <w:rFonts w:ascii="Arial" w:hAnsi="Arial" w:cs="Arial"/>
              </w:rPr>
              <w:t xml:space="preserve">It also discusses the impact of influence and </w:t>
            </w:r>
            <w:r w:rsidRPr="002C2B98">
              <w:rPr>
                <w:rFonts w:ascii="Arial" w:hAnsi="Arial" w:cs="Arial"/>
              </w:rPr>
              <w:t>organizational politics.</w:t>
            </w:r>
          </w:p>
        </w:tc>
      </w:tr>
      <w:tr w:rsidR="00556FBF" w:rsidRPr="00900CDA"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7D0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56FBF" w:rsidRDefault="00556FBF" w:rsidP="00C85B32">
            <w:pPr>
              <w:jc w:val="center"/>
              <w:rPr>
                <w:rFonts w:ascii="Arial" w:hAnsi="Arial" w:cs="Arial" w:hint="cs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Assignment </w:t>
            </w:r>
            <w:proofErr w:type="gramStart"/>
            <w:r>
              <w:rPr>
                <w:rFonts w:ascii="Arial" w:hAnsi="Arial" w:cs="Arial"/>
                <w:b/>
                <w:bCs/>
              </w:rPr>
              <w:t>2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Debate</w:t>
            </w:r>
          </w:p>
          <w:p w:rsidR="00556FBF" w:rsidRDefault="00556FBF" w:rsidP="00C85B32">
            <w:pPr>
              <w:jc w:val="center"/>
              <w:rPr>
                <w:rFonts w:ascii="Arial" w:hAnsi="Arial" w:cs="Arial" w:hint="cs"/>
                <w:b/>
                <w:bCs/>
              </w:rPr>
            </w:pP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FBF" w:rsidRDefault="00556FBF" w:rsidP="000F77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56FBF" w:rsidRPr="002C2B98" w:rsidRDefault="00556FBF" w:rsidP="007D0227">
            <w:pPr>
              <w:rPr>
                <w:rFonts w:ascii="Arial" w:hAnsi="Arial" w:cs="Arial"/>
              </w:rPr>
            </w:pPr>
          </w:p>
        </w:tc>
      </w:tr>
      <w:tr w:rsidR="005F59CF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5F5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14 - 15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0636BB" w:rsidRDefault="005F59CF" w:rsidP="007D02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Organizational Structure, Culture, and Development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0F7750">
            <w:pPr>
              <w:jc w:val="center"/>
              <w:rPr>
                <w:sz w:val="32"/>
                <w:szCs w:val="32"/>
              </w:rPr>
            </w:pPr>
            <w:proofErr w:type="gramStart"/>
            <w:r w:rsidRPr="0095570D">
              <w:rPr>
                <w:sz w:val="22"/>
                <w:szCs w:val="22"/>
              </w:rPr>
              <w:t>Chapter  14</w:t>
            </w:r>
            <w:proofErr w:type="gramEnd"/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BE494C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 xml:space="preserve">This topic focuses </w:t>
            </w:r>
            <w:r>
              <w:rPr>
                <w:rFonts w:ascii="Arial" w:hAnsi="Arial" w:cs="Arial"/>
              </w:rPr>
              <w:t xml:space="preserve">on </w:t>
            </w:r>
            <w:r w:rsidRPr="002C2B98">
              <w:rPr>
                <w:rFonts w:ascii="Arial" w:hAnsi="Arial" w:cs="Arial"/>
              </w:rPr>
              <w:t xml:space="preserve">the dimensions and structures of organizational </w:t>
            </w:r>
            <w:r>
              <w:rPr>
                <w:rFonts w:ascii="Arial" w:hAnsi="Arial" w:cs="Arial"/>
              </w:rPr>
              <w:t xml:space="preserve">structure and </w:t>
            </w:r>
            <w:r w:rsidRPr="002C2B98">
              <w:rPr>
                <w:rFonts w:ascii="Arial" w:hAnsi="Arial" w:cs="Arial"/>
              </w:rPr>
              <w:t>culture</w:t>
            </w:r>
            <w:r w:rsidRPr="00BE494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Organizational</w:t>
            </w:r>
            <w:r>
              <w:rPr>
                <w:rFonts w:ascii="Arial" w:hAnsi="Arial" w:cs="Arial"/>
              </w:rPr>
              <w:t xml:space="preserve"> d</w:t>
            </w:r>
            <w:r w:rsidRPr="002C2B98">
              <w:rPr>
                <w:rFonts w:ascii="Arial" w:hAnsi="Arial" w:cs="Arial"/>
              </w:rPr>
              <w:t xml:space="preserve">evelopment </w:t>
            </w:r>
            <w:r>
              <w:rPr>
                <w:rFonts w:ascii="Arial" w:hAnsi="Arial" w:cs="Arial"/>
              </w:rPr>
              <w:t xml:space="preserve">and techniques </w:t>
            </w:r>
            <w:r w:rsidRPr="002C2B98">
              <w:rPr>
                <w:rFonts w:ascii="Arial" w:hAnsi="Arial" w:cs="Arial"/>
              </w:rPr>
              <w:t xml:space="preserve">will be discussed as a core </w:t>
            </w:r>
            <w:r>
              <w:rPr>
                <w:rFonts w:ascii="Arial" w:hAnsi="Arial" w:cs="Arial"/>
              </w:rPr>
              <w:t xml:space="preserve">element of change in organizations. </w:t>
            </w:r>
            <w:r w:rsidRPr="002C2B98">
              <w:rPr>
                <w:rFonts w:ascii="Arial" w:hAnsi="Arial" w:cs="Arial"/>
              </w:rPr>
              <w:t>.</w:t>
            </w:r>
          </w:p>
        </w:tc>
      </w:tr>
      <w:tr w:rsidR="005F59CF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7D0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0636BB" w:rsidRDefault="005F59CF" w:rsidP="004873B1">
            <w:pPr>
              <w:rPr>
                <w:b/>
              </w:rPr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4873B1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Revision</w:t>
            </w:r>
          </w:p>
        </w:tc>
      </w:tr>
      <w:tr w:rsidR="005F59CF" w:rsidRPr="00900CDA"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2A0C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17-18</w:t>
            </w:r>
          </w:p>
        </w:tc>
        <w:tc>
          <w:tcPr>
            <w:tcW w:w="3677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900CDA" w:rsidRDefault="005F59CF" w:rsidP="007D022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Default="005F59CF" w:rsidP="007D0227">
            <w:pPr>
              <w:rPr>
                <w:b/>
              </w:rPr>
            </w:pPr>
          </w:p>
        </w:tc>
        <w:tc>
          <w:tcPr>
            <w:tcW w:w="2600" w:type="dxa"/>
            <w:tcBorders>
              <w:left w:val="single" w:sz="18" w:space="0" w:color="auto"/>
              <w:right w:val="single" w:sz="18" w:space="0" w:color="auto"/>
            </w:tcBorders>
          </w:tcPr>
          <w:p w:rsidR="005F59CF" w:rsidRPr="002C2B98" w:rsidRDefault="005F59CF" w:rsidP="001C6528">
            <w:pPr>
              <w:rPr>
                <w:rFonts w:ascii="Arial" w:hAnsi="Arial" w:cs="Arial"/>
              </w:rPr>
            </w:pPr>
            <w:r w:rsidRPr="002C2B98">
              <w:rPr>
                <w:rFonts w:ascii="Arial" w:hAnsi="Arial" w:cs="Arial"/>
              </w:rPr>
              <w:t>Final Examination</w:t>
            </w:r>
          </w:p>
        </w:tc>
      </w:tr>
    </w:tbl>
    <w:p w:rsidR="00243100" w:rsidRDefault="00243100" w:rsidP="00946A67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/>
      </w:tblPr>
      <w:tblGrid>
        <w:gridCol w:w="2487"/>
        <w:gridCol w:w="7021"/>
      </w:tblGrid>
      <w:tr w:rsidR="00946A67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946A67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minutes: is late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Late </w:t>
            </w:r>
            <w:r>
              <w:t>≥</w:t>
            </w:r>
            <w:r>
              <w:rPr>
                <w:rFonts w:ascii="Tahoma" w:hAnsi="Tahoma" w:cs="Tahoma"/>
              </w:rPr>
              <w:t xml:space="preserve"> 5 minutes: is absent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946A67" w:rsidRDefault="00946A67" w:rsidP="007D022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946A67" w:rsidRPr="00D72CED" w:rsidRDefault="00946A67" w:rsidP="00DA031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946A67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point: is the result of multiplying the credit hours by the grading points.</w:t>
            </w:r>
          </w:p>
          <w:p w:rsidR="00946A67" w:rsidRPr="002272DC" w:rsidRDefault="00946A67" w:rsidP="007D0227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946A67" w:rsidRPr="00D72CED" w:rsidRDefault="00946A67" w:rsidP="007D0227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946A67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Talking, looking at your colleagues’ exam papers or any other suspicious act is considered cheating during exam.</w:t>
            </w:r>
          </w:p>
          <w:p w:rsidR="00946A67" w:rsidRDefault="00946A67" w:rsidP="007D022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946A67" w:rsidRDefault="00946A67" w:rsidP="00946A67">
      <w:pPr>
        <w:rPr>
          <w:sz w:val="32"/>
          <w:szCs w:val="32"/>
        </w:rPr>
      </w:pPr>
    </w:p>
    <w:sectPr w:rsidR="00946A67" w:rsidSect="00556FBF">
      <w:pgSz w:w="12240" w:h="15840"/>
      <w:pgMar w:top="1134" w:right="1440" w:bottom="993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795"/>
    <w:multiLevelType w:val="hybridMultilevel"/>
    <w:tmpl w:val="583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111"/>
    <w:multiLevelType w:val="hybridMultilevel"/>
    <w:tmpl w:val="B91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0B6"/>
    <w:multiLevelType w:val="hybridMultilevel"/>
    <w:tmpl w:val="8204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F48501F"/>
    <w:multiLevelType w:val="hybridMultilevel"/>
    <w:tmpl w:val="1BE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6A67"/>
    <w:rsid w:val="000244EA"/>
    <w:rsid w:val="000F7750"/>
    <w:rsid w:val="00151CB7"/>
    <w:rsid w:val="001E49D8"/>
    <w:rsid w:val="001E7C34"/>
    <w:rsid w:val="00231422"/>
    <w:rsid w:val="00243100"/>
    <w:rsid w:val="002A0C9A"/>
    <w:rsid w:val="002A13B3"/>
    <w:rsid w:val="002C2B98"/>
    <w:rsid w:val="002D1517"/>
    <w:rsid w:val="002E128C"/>
    <w:rsid w:val="0032518D"/>
    <w:rsid w:val="0035631D"/>
    <w:rsid w:val="003D2E97"/>
    <w:rsid w:val="0041110B"/>
    <w:rsid w:val="004111C7"/>
    <w:rsid w:val="0045280B"/>
    <w:rsid w:val="00473A14"/>
    <w:rsid w:val="004873B1"/>
    <w:rsid w:val="004E113F"/>
    <w:rsid w:val="00556FBF"/>
    <w:rsid w:val="00594A04"/>
    <w:rsid w:val="005952F3"/>
    <w:rsid w:val="005A11CF"/>
    <w:rsid w:val="005C316A"/>
    <w:rsid w:val="005F59CF"/>
    <w:rsid w:val="0063081F"/>
    <w:rsid w:val="00650A0B"/>
    <w:rsid w:val="00665D9C"/>
    <w:rsid w:val="006A0094"/>
    <w:rsid w:val="006D792C"/>
    <w:rsid w:val="006E1618"/>
    <w:rsid w:val="006E2DD3"/>
    <w:rsid w:val="0074780B"/>
    <w:rsid w:val="00754C88"/>
    <w:rsid w:val="00757EE1"/>
    <w:rsid w:val="007D0227"/>
    <w:rsid w:val="007E6E97"/>
    <w:rsid w:val="007F4261"/>
    <w:rsid w:val="00834F46"/>
    <w:rsid w:val="00874F5C"/>
    <w:rsid w:val="00897BDD"/>
    <w:rsid w:val="008E52E3"/>
    <w:rsid w:val="00931643"/>
    <w:rsid w:val="00946A67"/>
    <w:rsid w:val="009F210D"/>
    <w:rsid w:val="00A11312"/>
    <w:rsid w:val="00A170FA"/>
    <w:rsid w:val="00AC771A"/>
    <w:rsid w:val="00AE7B8C"/>
    <w:rsid w:val="00B51E11"/>
    <w:rsid w:val="00BA099F"/>
    <w:rsid w:val="00BA3E89"/>
    <w:rsid w:val="00BB2DED"/>
    <w:rsid w:val="00BE494C"/>
    <w:rsid w:val="00C434FA"/>
    <w:rsid w:val="00C44812"/>
    <w:rsid w:val="00C85B32"/>
    <w:rsid w:val="00CB2062"/>
    <w:rsid w:val="00CC0D6D"/>
    <w:rsid w:val="00CC5FC4"/>
    <w:rsid w:val="00D0055E"/>
    <w:rsid w:val="00D075C0"/>
    <w:rsid w:val="00D12B83"/>
    <w:rsid w:val="00D22F4F"/>
    <w:rsid w:val="00D41BCA"/>
    <w:rsid w:val="00D6191D"/>
    <w:rsid w:val="00D8407A"/>
    <w:rsid w:val="00DA0317"/>
    <w:rsid w:val="00DC6350"/>
    <w:rsid w:val="00E1039C"/>
    <w:rsid w:val="00E7254B"/>
    <w:rsid w:val="00EC42E9"/>
    <w:rsid w:val="00EF12D3"/>
    <w:rsid w:val="00F21AED"/>
    <w:rsid w:val="00F30F36"/>
    <w:rsid w:val="00F756E8"/>
    <w:rsid w:val="00F77C6C"/>
    <w:rsid w:val="00F901BE"/>
    <w:rsid w:val="00FA5F9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46A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rsid w:val="00946A67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946A67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946A67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946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rsid w:val="00946A67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946A67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946A67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946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Word_97_-_2004_Document1.doc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AAA8-C1F8-B843-81A9-2C0017E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919</Words>
  <Characters>5243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macavintam</dc:creator>
  <cp:lastModifiedBy>Sarah Alamoudi</cp:lastModifiedBy>
  <cp:revision>4</cp:revision>
  <cp:lastPrinted>2012-02-04T05:33:00Z</cp:lastPrinted>
  <dcterms:created xsi:type="dcterms:W3CDTF">2012-09-03T07:49:00Z</dcterms:created>
  <dcterms:modified xsi:type="dcterms:W3CDTF">2012-09-09T10:13:00Z</dcterms:modified>
</cp:coreProperties>
</file>